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66" w:type="dxa"/>
        <w:tblCellSpacing w:w="15" w:type="dxa"/>
        <w:tblLayout w:type="fixed"/>
        <w:tblCellMar>
          <w:left w:w="0" w:type="dxa"/>
          <w:right w:w="0" w:type="dxa"/>
        </w:tblCellMar>
        <w:tblLook w:val="04A0"/>
      </w:tblPr>
      <w:tblGrid>
        <w:gridCol w:w="7916"/>
        <w:gridCol w:w="50"/>
        <w:gridCol w:w="266"/>
        <w:gridCol w:w="311"/>
        <w:gridCol w:w="323"/>
      </w:tblGrid>
      <w:tr w:rsidR="00E64841" w:rsidRPr="00E64841" w:rsidTr="00BA0EF6">
        <w:trPr>
          <w:gridAfter w:val="1"/>
          <w:wAfter w:w="91" w:type="pct"/>
          <w:tblCellSpacing w:w="15" w:type="dxa"/>
        </w:trPr>
        <w:tc>
          <w:tcPr>
            <w:tcW w:w="4500" w:type="pct"/>
            <w:vAlign w:val="center"/>
            <w:hideMark/>
          </w:tcPr>
          <w:p w:rsidR="00E64841" w:rsidRPr="00E64841" w:rsidRDefault="00E64841" w:rsidP="00E64841">
            <w:pPr>
              <w:spacing w:after="0" w:line="240" w:lineRule="auto"/>
              <w:rPr>
                <w:rFonts w:ascii="Arial" w:eastAsia="Times New Roman" w:hAnsi="Arial" w:cs="Arial"/>
                <w:b/>
                <w:color w:val="000000"/>
                <w:sz w:val="26"/>
                <w:szCs w:val="26"/>
                <w:lang w:eastAsia="de-AT"/>
              </w:rPr>
            </w:pPr>
            <w:r w:rsidRPr="00E64841">
              <w:rPr>
                <w:rFonts w:ascii="Arial" w:eastAsia="Times New Roman" w:hAnsi="Arial" w:cs="Arial"/>
                <w:b/>
                <w:color w:val="000000"/>
                <w:sz w:val="26"/>
                <w:szCs w:val="26"/>
                <w:lang w:eastAsia="de-AT"/>
              </w:rPr>
              <w:t xml:space="preserve">Der Arme-Seelen-Ablass </w:t>
            </w:r>
          </w:p>
        </w:tc>
        <w:tc>
          <w:tcPr>
            <w:tcW w:w="11" w:type="pct"/>
            <w:vAlign w:val="center"/>
            <w:hideMark/>
          </w:tcPr>
          <w:p w:rsidR="00E64841" w:rsidRPr="00E64841" w:rsidRDefault="00E64841" w:rsidP="00E64841">
            <w:pPr>
              <w:spacing w:after="0" w:line="240" w:lineRule="auto"/>
              <w:jc w:val="right"/>
              <w:rPr>
                <w:rFonts w:ascii="Helvetica" w:eastAsia="Times New Roman" w:hAnsi="Helvetica" w:cs="Helvetica"/>
                <w:b/>
                <w:color w:val="111111"/>
                <w:sz w:val="18"/>
                <w:szCs w:val="18"/>
                <w:lang w:eastAsia="de-AT"/>
              </w:rPr>
            </w:pPr>
            <w:r w:rsidRPr="00C73FBD">
              <w:rPr>
                <w:rFonts w:ascii="Helvetica" w:eastAsia="Times New Roman" w:hAnsi="Helvetica" w:cs="Helvetica"/>
                <w:b/>
                <w:noProof/>
                <w:color w:val="135CAE"/>
                <w:sz w:val="18"/>
                <w:szCs w:val="18"/>
                <w:lang w:eastAsia="de-AT"/>
              </w:rPr>
              <w:drawing>
                <wp:inline distT="0" distB="0" distL="0" distR="0">
                  <wp:extent cx="152400" cy="152400"/>
                  <wp:effectExtent l="19050" t="0" r="0" b="0"/>
                  <wp:docPr id="1" name="Bild 1" descr="PDF">
                    <a:hlinkClick xmlns:a="http://schemas.openxmlformats.org/drawingml/2006/main" r:id="rId4" tooltip="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PDF"/>
                          </pic:cNvP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135" w:type="pct"/>
            <w:vAlign w:val="center"/>
            <w:hideMark/>
          </w:tcPr>
          <w:p w:rsidR="00E64841" w:rsidRPr="00E64841" w:rsidRDefault="00E64841" w:rsidP="00E64841">
            <w:pPr>
              <w:spacing w:after="0" w:line="240" w:lineRule="auto"/>
              <w:jc w:val="right"/>
              <w:rPr>
                <w:rFonts w:ascii="Helvetica" w:eastAsia="Times New Roman" w:hAnsi="Helvetica" w:cs="Helvetica"/>
                <w:b/>
                <w:color w:val="111111"/>
                <w:sz w:val="18"/>
                <w:szCs w:val="18"/>
                <w:lang w:eastAsia="de-AT"/>
              </w:rPr>
            </w:pPr>
          </w:p>
        </w:tc>
        <w:tc>
          <w:tcPr>
            <w:tcW w:w="161" w:type="pct"/>
            <w:vAlign w:val="center"/>
            <w:hideMark/>
          </w:tcPr>
          <w:p w:rsidR="00E64841" w:rsidRPr="00E64841" w:rsidRDefault="00E64841" w:rsidP="00E64841">
            <w:pPr>
              <w:spacing w:after="0" w:line="240" w:lineRule="auto"/>
              <w:jc w:val="right"/>
              <w:rPr>
                <w:rFonts w:ascii="Helvetica" w:eastAsia="Times New Roman" w:hAnsi="Helvetica" w:cs="Helvetica"/>
                <w:b/>
                <w:color w:val="111111"/>
                <w:sz w:val="18"/>
                <w:szCs w:val="18"/>
                <w:lang w:eastAsia="de-AT"/>
              </w:rPr>
            </w:pPr>
          </w:p>
        </w:tc>
      </w:tr>
      <w:tr w:rsidR="00E64841" w:rsidRPr="00E64841" w:rsidTr="00BA0EF6">
        <w:trPr>
          <w:trHeight w:val="300"/>
          <w:tblCellSpacing w:w="15" w:type="dxa"/>
        </w:trPr>
        <w:tc>
          <w:tcPr>
            <w:tcW w:w="4966" w:type="pct"/>
            <w:gridSpan w:val="5"/>
            <w:tcMar>
              <w:top w:w="0" w:type="dxa"/>
              <w:left w:w="0" w:type="dxa"/>
              <w:bottom w:w="75" w:type="dxa"/>
              <w:right w:w="0" w:type="dxa"/>
            </w:tcMar>
            <w:hideMark/>
          </w:tcPr>
          <w:p w:rsidR="00E64841" w:rsidRPr="00E64841" w:rsidRDefault="00E64841" w:rsidP="00E64841">
            <w:pPr>
              <w:spacing w:after="0" w:line="240" w:lineRule="auto"/>
              <w:rPr>
                <w:rFonts w:ascii="Helvetica" w:eastAsia="Times New Roman" w:hAnsi="Helvetica" w:cs="Helvetica"/>
                <w:color w:val="999999"/>
                <w:sz w:val="20"/>
                <w:szCs w:val="20"/>
                <w:lang w:eastAsia="de-AT"/>
              </w:rPr>
            </w:pPr>
          </w:p>
        </w:tc>
      </w:tr>
      <w:tr w:rsidR="00E64841" w:rsidRPr="00E64841" w:rsidTr="00BA0EF6">
        <w:trPr>
          <w:tblCellSpacing w:w="15" w:type="dxa"/>
        </w:trPr>
        <w:tc>
          <w:tcPr>
            <w:tcW w:w="4966" w:type="pct"/>
            <w:gridSpan w:val="5"/>
            <w:hideMark/>
          </w:tcPr>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 xml:space="preserve">In der Zeit vom 1. bis 8. November kann durch den Besuch des Friedhofs ein vollkommener Ablass für die armen Seelen gewonnen werden. Am Allerseelentag genügt auch der Kirchbesuch. Dabei muss ein </w:t>
            </w:r>
            <w:r w:rsidRPr="00E64841">
              <w:rPr>
                <w:rFonts w:ascii="Helvetica" w:eastAsia="Times New Roman" w:hAnsi="Helvetica" w:cs="Helvetica"/>
                <w:i/>
                <w:iCs/>
                <w:color w:val="111111"/>
                <w:sz w:val="20"/>
                <w:lang w:eastAsia="de-AT"/>
              </w:rPr>
              <w:t>Credo</w:t>
            </w:r>
            <w:r w:rsidRPr="00E64841">
              <w:rPr>
                <w:rFonts w:ascii="Helvetica" w:eastAsia="Times New Roman" w:hAnsi="Helvetica" w:cs="Helvetica"/>
                <w:color w:val="111111"/>
                <w:sz w:val="20"/>
                <w:szCs w:val="20"/>
                <w:lang w:eastAsia="de-AT"/>
              </w:rPr>
              <w:t xml:space="preserve"> und ein </w:t>
            </w:r>
            <w:r w:rsidRPr="00E64841">
              <w:rPr>
                <w:rFonts w:ascii="Helvetica" w:eastAsia="Times New Roman" w:hAnsi="Helvetica" w:cs="Helvetica"/>
                <w:i/>
                <w:iCs/>
                <w:color w:val="111111"/>
                <w:sz w:val="20"/>
                <w:lang w:eastAsia="de-AT"/>
              </w:rPr>
              <w:t>Vater unser</w:t>
            </w:r>
            <w:r w:rsidRPr="00E64841">
              <w:rPr>
                <w:rFonts w:ascii="Helvetica" w:eastAsia="Times New Roman" w:hAnsi="Helvetica" w:cs="Helvetica"/>
                <w:color w:val="111111"/>
                <w:sz w:val="20"/>
                <w:szCs w:val="20"/>
                <w:lang w:eastAsia="de-AT"/>
              </w:rPr>
              <w:t xml:space="preserve"> gebetet werden. Für die weiteren Tage bis zum 8. November muss beim Besuch des Friedhofs im Geiste für die armen Seelen gebetet werden. Die anderen vorgeschriebenen Gebete müssen ausgesprochen werden (wenigstens mit Bewegung der Lippen).</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Zur Erlangung eines vollkommenen Ablasses für die armen Seelen gelten darüber hinaus die folgenden Bedingungen:</w:t>
            </w:r>
          </w:p>
          <w:p w:rsidR="00E64841" w:rsidRPr="00E64841" w:rsidRDefault="00E64841" w:rsidP="00E64841">
            <w:pPr>
              <w:spacing w:before="100" w:beforeAutospacing="1" w:after="100" w:afterAutospacing="1" w:line="240" w:lineRule="auto"/>
              <w:rPr>
                <w:rFonts w:ascii="Helvetica" w:eastAsia="Times New Roman" w:hAnsi="Helvetica" w:cs="Helvetica"/>
                <w:color w:val="111111"/>
                <w:sz w:val="20"/>
                <w:szCs w:val="20"/>
                <w:lang w:eastAsia="de-AT"/>
              </w:rPr>
            </w:pPr>
            <w:r w:rsidRPr="00C73FBD">
              <w:rPr>
                <w:rFonts w:ascii="Helvetica" w:eastAsia="Times New Roman" w:hAnsi="Helvetica" w:cs="Helvetica"/>
                <w:iCs/>
                <w:color w:val="111111"/>
                <w:sz w:val="20"/>
                <w:lang w:eastAsia="de-AT"/>
              </w:rPr>
              <w:t>- Beichte im Zeitraum von ungefähr 20 Tagen vorher oder nachher</w:t>
            </w:r>
            <w:r w:rsidRPr="00E64841">
              <w:rPr>
                <w:rFonts w:ascii="Helvetica" w:eastAsia="Times New Roman" w:hAnsi="Helvetica" w:cs="Helvetica"/>
                <w:color w:val="111111"/>
                <w:sz w:val="20"/>
                <w:szCs w:val="20"/>
                <w:lang w:eastAsia="de-AT"/>
              </w:rPr>
              <w:br/>
            </w:r>
            <w:r w:rsidRPr="00C73FBD">
              <w:rPr>
                <w:rFonts w:ascii="Helvetica" w:eastAsia="Times New Roman" w:hAnsi="Helvetica" w:cs="Helvetica"/>
                <w:iCs/>
                <w:color w:val="111111"/>
                <w:sz w:val="20"/>
                <w:lang w:eastAsia="de-AT"/>
              </w:rPr>
              <w:t>- Empfang der heiligen Kommunion</w:t>
            </w:r>
            <w:r w:rsidRPr="00E64841">
              <w:rPr>
                <w:rFonts w:ascii="Helvetica" w:eastAsia="Times New Roman" w:hAnsi="Helvetica" w:cs="Helvetica"/>
                <w:color w:val="111111"/>
                <w:sz w:val="20"/>
                <w:szCs w:val="20"/>
                <w:lang w:eastAsia="de-AT"/>
              </w:rPr>
              <w:br/>
            </w:r>
            <w:r w:rsidRPr="00C73FBD">
              <w:rPr>
                <w:rFonts w:ascii="Helvetica" w:eastAsia="Times New Roman" w:hAnsi="Helvetica" w:cs="Helvetica"/>
                <w:iCs/>
                <w:color w:val="111111"/>
                <w:sz w:val="20"/>
                <w:lang w:eastAsia="de-AT"/>
              </w:rPr>
              <w:t>- entschlossene Abkehr von jeder Anhänglichkeit an die freiwillige, auch lässliche Sünde</w:t>
            </w:r>
            <w:r w:rsidRPr="00E64841">
              <w:rPr>
                <w:rFonts w:ascii="Helvetica" w:eastAsia="Times New Roman" w:hAnsi="Helvetica" w:cs="Helvetica"/>
                <w:color w:val="111111"/>
                <w:sz w:val="20"/>
                <w:szCs w:val="20"/>
                <w:lang w:eastAsia="de-AT"/>
              </w:rPr>
              <w:br/>
            </w:r>
            <w:r w:rsidRPr="00C73FBD">
              <w:rPr>
                <w:rFonts w:ascii="Helvetica" w:eastAsia="Times New Roman" w:hAnsi="Helvetica" w:cs="Helvetica"/>
                <w:iCs/>
                <w:color w:val="111111"/>
                <w:sz w:val="20"/>
                <w:lang w:eastAsia="de-AT"/>
              </w:rPr>
              <w:t>- Gebet in der Meinung des Heiligen Vaters.</w:t>
            </w:r>
          </w:p>
          <w:p w:rsidR="00E64841" w:rsidRPr="00E64841" w:rsidRDefault="00E64841" w:rsidP="00E64841">
            <w:pPr>
              <w:spacing w:before="100" w:beforeAutospacing="1" w:after="100" w:afterAutospacing="1" w:line="240" w:lineRule="auto"/>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Zur Erläuterung dieser Bedingungen:</w:t>
            </w:r>
          </w:p>
          <w:p w:rsidR="00E64841" w:rsidRPr="00E64841" w:rsidRDefault="00E64841" w:rsidP="00E64841">
            <w:pPr>
              <w:spacing w:before="100" w:beforeAutospacing="1" w:after="100" w:afterAutospacing="1" w:line="240" w:lineRule="auto"/>
              <w:rPr>
                <w:rFonts w:ascii="Helvetica" w:eastAsia="Times New Roman" w:hAnsi="Helvetica" w:cs="Helvetica"/>
                <w:color w:val="111111"/>
                <w:sz w:val="20"/>
                <w:szCs w:val="20"/>
                <w:lang w:eastAsia="de-AT"/>
              </w:rPr>
            </w:pPr>
            <w:r w:rsidRPr="00E64841">
              <w:rPr>
                <w:rFonts w:ascii="Helvetica" w:eastAsia="Times New Roman" w:hAnsi="Helvetica" w:cs="Helvetica"/>
                <w:b/>
                <w:bCs/>
                <w:color w:val="111111"/>
                <w:sz w:val="20"/>
                <w:u w:val="single"/>
                <w:lang w:eastAsia="de-AT"/>
              </w:rPr>
              <w:t>Die besonderen Bedingungen für die Gewinnung eines vollkommenen Ablasses</w:t>
            </w:r>
          </w:p>
          <w:p w:rsidR="00E64841" w:rsidRPr="00E64841" w:rsidRDefault="00E64841" w:rsidP="00E64841">
            <w:pPr>
              <w:spacing w:before="100" w:beforeAutospacing="1" w:after="100" w:afterAutospacing="1" w:line="240" w:lineRule="auto"/>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 xml:space="preserve">Die Apostolische </w:t>
            </w:r>
            <w:proofErr w:type="spellStart"/>
            <w:r w:rsidRPr="00E64841">
              <w:rPr>
                <w:rFonts w:ascii="Helvetica" w:eastAsia="Times New Roman" w:hAnsi="Helvetica" w:cs="Helvetica"/>
                <w:color w:val="111111"/>
                <w:sz w:val="20"/>
                <w:szCs w:val="20"/>
                <w:lang w:eastAsia="de-AT"/>
              </w:rPr>
              <w:t>Pönitentiarie</w:t>
            </w:r>
            <w:proofErr w:type="spellEnd"/>
            <w:r w:rsidRPr="00E64841">
              <w:rPr>
                <w:rFonts w:ascii="Helvetica" w:eastAsia="Times New Roman" w:hAnsi="Helvetica" w:cs="Helvetica"/>
                <w:color w:val="111111"/>
                <w:sz w:val="20"/>
                <w:szCs w:val="20"/>
                <w:lang w:eastAsia="de-AT"/>
              </w:rPr>
              <w:t xml:space="preserve"> informiert auf der Internetseite des Vatikan (vatican.va):</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„Der vollkommene Ablass kann nur einmal am Tag gewonnen werden. Um ihn zu erhalten, ist es jedoch – über den Gnadenstand hinaus – notwendig, dass der Gläubige:</w:t>
            </w:r>
          </w:p>
          <w:p w:rsidR="00E64841" w:rsidRPr="00E64841" w:rsidRDefault="00E64841" w:rsidP="00E64841">
            <w:pPr>
              <w:spacing w:before="100" w:beforeAutospacing="1" w:after="100" w:afterAutospacing="1" w:line="240" w:lineRule="auto"/>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 die innere Disposition des Freiseins von jeglicher Anhänglichkeit an die Sünde, auch die lässliche, hat;</w:t>
            </w:r>
          </w:p>
          <w:p w:rsidR="00E64841" w:rsidRPr="00E64841" w:rsidRDefault="00E64841" w:rsidP="00E64841">
            <w:pPr>
              <w:spacing w:before="100" w:beforeAutospacing="1" w:after="100" w:afterAutospacing="1" w:line="240" w:lineRule="auto"/>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 die sakramentale Beichte seiner Sünden vornimmt;</w:t>
            </w:r>
            <w:r w:rsidRPr="00E64841">
              <w:rPr>
                <w:rFonts w:ascii="Helvetica" w:eastAsia="Times New Roman" w:hAnsi="Helvetica" w:cs="Helvetica"/>
                <w:color w:val="111111"/>
                <w:sz w:val="20"/>
                <w:szCs w:val="20"/>
                <w:lang w:eastAsia="de-AT"/>
              </w:rPr>
              <w:br/>
              <w:t>- die Allerheiligste Eucharistie empfängt;</w:t>
            </w:r>
            <w:r w:rsidRPr="00E64841">
              <w:rPr>
                <w:rFonts w:ascii="Helvetica" w:eastAsia="Times New Roman" w:hAnsi="Helvetica" w:cs="Helvetica"/>
                <w:color w:val="111111"/>
                <w:sz w:val="20"/>
                <w:szCs w:val="20"/>
                <w:lang w:eastAsia="de-AT"/>
              </w:rPr>
              <w:br/>
              <w:t>- nach Meinung des Heiligen Vaters betet."</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Es ist vorteilhaft, jedoch nicht notwendig, dass die sakramentale Beichte und insbesondere die heilige Kommunion und das Gebet nach Meinung des Heiligen Vaters am selben Tag vorgenommen werden, an dem auch das Ablasswerk vollbracht wird; es reicht aus, dass diese heiligen Riten und Gebete einige Tage (ungefähr 20) vor oder nach dem Ablasswerk abgelegt werden. Das Gebet nach Meinung des Heiligen Vaters bleibt der Wahl des einzelnen Gläubigen überlassen, es empfiehlt sich jedoch das Beten eines Vaterunsers sowie eines „</w:t>
            </w:r>
            <w:proofErr w:type="spellStart"/>
            <w:r w:rsidRPr="00E64841">
              <w:rPr>
                <w:rFonts w:ascii="Helvetica" w:eastAsia="Times New Roman" w:hAnsi="Helvetica" w:cs="Helvetica"/>
                <w:color w:val="111111"/>
                <w:sz w:val="20"/>
                <w:szCs w:val="20"/>
                <w:lang w:eastAsia="de-AT"/>
              </w:rPr>
              <w:t>Gegrüßet</w:t>
            </w:r>
            <w:proofErr w:type="spellEnd"/>
            <w:r w:rsidRPr="00E64841">
              <w:rPr>
                <w:rFonts w:ascii="Helvetica" w:eastAsia="Times New Roman" w:hAnsi="Helvetica" w:cs="Helvetica"/>
                <w:color w:val="111111"/>
                <w:sz w:val="20"/>
                <w:szCs w:val="20"/>
                <w:lang w:eastAsia="de-AT"/>
              </w:rPr>
              <w:t xml:space="preserve"> seist du Maria". Zum Erwerb mehrerer vollkommener Ablässe reicht eine sakramentale Beichte aus; es </w:t>
            </w:r>
            <w:proofErr w:type="gramStart"/>
            <w:r w:rsidRPr="00E64841">
              <w:rPr>
                <w:rFonts w:ascii="Helvetica" w:eastAsia="Times New Roman" w:hAnsi="Helvetica" w:cs="Helvetica"/>
                <w:color w:val="111111"/>
                <w:sz w:val="20"/>
                <w:szCs w:val="20"/>
                <w:lang w:eastAsia="de-AT"/>
              </w:rPr>
              <w:t>wird</w:t>
            </w:r>
            <w:proofErr w:type="gramEnd"/>
            <w:r w:rsidRPr="00E64841">
              <w:rPr>
                <w:rFonts w:ascii="Helvetica" w:eastAsia="Times New Roman" w:hAnsi="Helvetica" w:cs="Helvetica"/>
                <w:color w:val="111111"/>
                <w:sz w:val="20"/>
                <w:szCs w:val="20"/>
                <w:lang w:eastAsia="de-AT"/>
              </w:rPr>
              <w:t xml:space="preserve"> jedoch für jeden vollkommenen Ablass ein je eigener Empfang der heiligen Kommunion und ein eigenes Gebet nach Meinung des Heiligen Vaters verlangt.</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Die Beichtväter können für diejenigen, die rechtmäßig verhindert sind, sowohl das vorgeschriebene Werk als auch die hierfür verlangten Bedingungen abändern (abgesehen natürlich von der Abkehr von der Sünde, auch der lässlichen Sünde).</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Die Ablässe können immer für sich selbst gewonnen oder den Seelen der Verstorbenen zugewandt werden, sie können jedoch nicht für noch lebende Personen erworben werden. Neben der Verrichtung des vorgeschriebenen Werkes (z.B. der Friedhofsbesuch Anfang November) sind also noch weitere Bedingungen zu erfüllen:</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 Beichte: in einem Zeitraum von „ungefähr 20 Tagen vorher oder nachher" (nach der alten Ordnung acht Tage). Das heißt: Wer alle vier bis sechs Wochen beichtet, kann täglich einen vollkommenen Ablass gewinnen, wenn er im Stand der Gnade ist und die anderen Bedingungen erfüllt. Dies ist ein Segen, der sich aus der regelmäßigen Beichtpraxis ergibt, z.B. jeweils am Monatsanfang am Herz-Jesu-Freitag oder Herz-Maria-Sühnesamstag.</w:t>
            </w:r>
          </w:p>
          <w:p w:rsidR="00E64841" w:rsidRPr="00E64841" w:rsidRDefault="00E64841" w:rsidP="00E64841">
            <w:pPr>
              <w:spacing w:before="100" w:beforeAutospacing="1" w:after="100" w:afterAutospacing="1" w:line="240" w:lineRule="auto"/>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lastRenderedPageBreak/>
              <w:t>- Empfang der heiligen Kommunion</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highlight w:val="yellow"/>
                <w:lang w:eastAsia="de-AT"/>
              </w:rPr>
            </w:pPr>
            <w:r w:rsidRPr="00E64841">
              <w:rPr>
                <w:rFonts w:ascii="Helvetica" w:eastAsia="Times New Roman" w:hAnsi="Helvetica" w:cs="Helvetica"/>
                <w:color w:val="111111"/>
                <w:sz w:val="20"/>
                <w:szCs w:val="20"/>
                <w:lang w:eastAsia="de-AT"/>
              </w:rPr>
              <w:t xml:space="preserve">- Ein Gebet in der Meinung des Heiligen Vaters: z.B. ein Vaterunser oder ein Ave Maria. </w:t>
            </w:r>
            <w:r w:rsidRPr="00E64841">
              <w:rPr>
                <w:rFonts w:ascii="Helvetica" w:eastAsia="Times New Roman" w:hAnsi="Helvetica" w:cs="Helvetica"/>
                <w:b/>
                <w:color w:val="0000FF"/>
                <w:sz w:val="20"/>
                <w:szCs w:val="20"/>
                <w:highlight w:val="yellow"/>
                <w:lang w:eastAsia="de-AT"/>
              </w:rPr>
              <w:t>Die Meinungen des Heiligen Vaters sind von der Kirche objektiv festgelegt</w:t>
            </w:r>
            <w:r w:rsidRPr="00E64841">
              <w:rPr>
                <w:rFonts w:ascii="Helvetica" w:eastAsia="Times New Roman" w:hAnsi="Helvetica" w:cs="Helvetica"/>
                <w:color w:val="111111"/>
                <w:sz w:val="20"/>
                <w:szCs w:val="20"/>
                <w:highlight w:val="yellow"/>
                <w:lang w:eastAsia="de-AT"/>
              </w:rPr>
              <w:t>. Es handelt sich um folgende:</w:t>
            </w:r>
          </w:p>
          <w:p w:rsidR="00E64841" w:rsidRPr="00E64841" w:rsidRDefault="00E64841" w:rsidP="00E64841">
            <w:pPr>
              <w:spacing w:before="100" w:beforeAutospacing="1" w:after="100" w:afterAutospacing="1" w:line="240" w:lineRule="auto"/>
              <w:rPr>
                <w:rFonts w:ascii="Helvetica" w:eastAsia="Times New Roman" w:hAnsi="Helvetica" w:cs="Helvetica"/>
                <w:b/>
                <w:color w:val="111111"/>
                <w:sz w:val="20"/>
                <w:szCs w:val="20"/>
                <w:lang w:eastAsia="de-AT"/>
              </w:rPr>
            </w:pPr>
            <w:r w:rsidRPr="00E64841">
              <w:rPr>
                <w:rFonts w:ascii="Helvetica" w:eastAsia="Times New Roman" w:hAnsi="Helvetica" w:cs="Helvetica"/>
                <w:b/>
                <w:color w:val="111111"/>
                <w:sz w:val="20"/>
                <w:szCs w:val="20"/>
                <w:highlight w:val="yellow"/>
                <w:lang w:eastAsia="de-AT"/>
              </w:rPr>
              <w:t>- die Überwindung der Irrlehren</w:t>
            </w:r>
            <w:r w:rsidRPr="00E64841">
              <w:rPr>
                <w:rFonts w:ascii="Helvetica" w:eastAsia="Times New Roman" w:hAnsi="Helvetica" w:cs="Helvetica"/>
                <w:b/>
                <w:color w:val="111111"/>
                <w:sz w:val="20"/>
                <w:szCs w:val="20"/>
                <w:highlight w:val="yellow"/>
                <w:lang w:eastAsia="de-AT"/>
              </w:rPr>
              <w:br/>
              <w:t>- die Ausbreitung des Glaubens</w:t>
            </w:r>
            <w:r w:rsidRPr="00E64841">
              <w:rPr>
                <w:rFonts w:ascii="Helvetica" w:eastAsia="Times New Roman" w:hAnsi="Helvetica" w:cs="Helvetica"/>
                <w:b/>
                <w:color w:val="111111"/>
                <w:sz w:val="20"/>
                <w:szCs w:val="20"/>
                <w:highlight w:val="yellow"/>
                <w:lang w:eastAsia="de-AT"/>
              </w:rPr>
              <w:br/>
              <w:t>- die Bekehrung der Sünder</w:t>
            </w:r>
            <w:r w:rsidRPr="00E64841">
              <w:rPr>
                <w:rFonts w:ascii="Helvetica" w:eastAsia="Times New Roman" w:hAnsi="Helvetica" w:cs="Helvetica"/>
                <w:b/>
                <w:color w:val="111111"/>
                <w:sz w:val="20"/>
                <w:szCs w:val="20"/>
                <w:highlight w:val="yellow"/>
                <w:lang w:eastAsia="de-AT"/>
              </w:rPr>
              <w:br/>
              <w:t>- der Friede zwischen den christlichen Völkern.</w:t>
            </w:r>
          </w:p>
          <w:p w:rsidR="00E64841" w:rsidRPr="00E64841" w:rsidRDefault="00E64841" w:rsidP="00E64841">
            <w:pPr>
              <w:spacing w:before="100" w:beforeAutospacing="1" w:after="100" w:afterAutospacing="1" w:line="240" w:lineRule="auto"/>
              <w:jc w:val="both"/>
              <w:rPr>
                <w:rFonts w:ascii="Helvetica" w:eastAsia="Times New Roman" w:hAnsi="Helvetica" w:cs="Helvetica"/>
                <w:color w:val="111111"/>
                <w:sz w:val="20"/>
                <w:szCs w:val="20"/>
                <w:lang w:eastAsia="de-AT"/>
              </w:rPr>
            </w:pPr>
            <w:r w:rsidRPr="00E64841">
              <w:rPr>
                <w:rFonts w:ascii="Helvetica" w:eastAsia="Times New Roman" w:hAnsi="Helvetica" w:cs="Helvetica"/>
                <w:color w:val="111111"/>
                <w:sz w:val="20"/>
                <w:szCs w:val="20"/>
                <w:lang w:eastAsia="de-AT"/>
              </w:rPr>
              <w:t>- Der Wille, auch keine freiwillige lässliche Sünde mehr zu begehen oder eine Anhänglichkeit an sie zu pflegen. Sinnvollerweise verbindet man die Ablassgewinnung darum mit einer Liebesreue. Das heißt: Man bereut die Sünden aus Liebe zu Gott wegen der in ihnen liegenden großen Undankbarkeit.</w:t>
            </w:r>
          </w:p>
          <w:p w:rsidR="00E64841" w:rsidRDefault="00E64841" w:rsidP="00E64841">
            <w:pPr>
              <w:spacing w:before="100" w:beforeAutospacing="1" w:after="100" w:afterAutospacing="1" w:line="240" w:lineRule="auto"/>
              <w:rPr>
                <w:rFonts w:ascii="Helvetica" w:eastAsia="Times New Roman" w:hAnsi="Helvetica" w:cs="Helvetica"/>
                <w:iCs/>
                <w:color w:val="111111"/>
                <w:sz w:val="20"/>
                <w:lang w:eastAsia="de-AT"/>
              </w:rPr>
            </w:pPr>
            <w:r w:rsidRPr="00FF1214">
              <w:rPr>
                <w:rFonts w:ascii="Helvetica" w:eastAsia="Times New Roman" w:hAnsi="Helvetica" w:cs="Helvetica"/>
                <w:iCs/>
                <w:color w:val="111111"/>
                <w:sz w:val="20"/>
                <w:lang w:eastAsia="de-AT"/>
              </w:rPr>
              <w:t> </w:t>
            </w:r>
            <w:hyperlink r:id="rId6" w:history="1">
              <w:r w:rsidR="00FF1214" w:rsidRPr="00FF1214">
                <w:rPr>
                  <w:rStyle w:val="Hyperlink"/>
                  <w:rFonts w:ascii="Helvetica" w:eastAsia="Times New Roman" w:hAnsi="Helvetica" w:cs="Helvetica"/>
                  <w:iCs/>
                  <w:sz w:val="20"/>
                  <w:lang w:eastAsia="de-AT"/>
                </w:rPr>
                <w:t>http://pius.info/froemmigkeit/8367-der-arme-seelen-ablass</w:t>
              </w:r>
            </w:hyperlink>
          </w:p>
          <w:p w:rsidR="00FF1214" w:rsidRPr="00FF1214" w:rsidRDefault="00FF1214" w:rsidP="00E64841">
            <w:pPr>
              <w:spacing w:before="100" w:beforeAutospacing="1" w:after="100" w:afterAutospacing="1" w:line="240" w:lineRule="auto"/>
              <w:rPr>
                <w:rFonts w:ascii="Helvetica" w:eastAsia="Times New Roman" w:hAnsi="Helvetica" w:cs="Helvetica"/>
                <w:b/>
                <w:iCs/>
                <w:color w:val="111111"/>
                <w:sz w:val="24"/>
                <w:szCs w:val="24"/>
                <w:lang w:eastAsia="de-AT"/>
              </w:rPr>
            </w:pPr>
            <w:r>
              <w:rPr>
                <w:rFonts w:ascii="Helvetica" w:eastAsia="Times New Roman" w:hAnsi="Helvetica" w:cs="Helvetica"/>
                <w:b/>
                <w:iCs/>
                <w:color w:val="111111"/>
                <w:sz w:val="24"/>
                <w:szCs w:val="24"/>
                <w:lang w:eastAsia="de-AT"/>
              </w:rPr>
              <w:t>Verschiedene Ablä</w:t>
            </w:r>
            <w:r w:rsidRPr="00FF1214">
              <w:rPr>
                <w:rFonts w:ascii="Helvetica" w:eastAsia="Times New Roman" w:hAnsi="Helvetica" w:cs="Helvetica"/>
                <w:b/>
                <w:iCs/>
                <w:color w:val="111111"/>
                <w:sz w:val="24"/>
                <w:szCs w:val="24"/>
                <w:lang w:eastAsia="de-AT"/>
              </w:rPr>
              <w:t>ss</w:t>
            </w:r>
            <w:r>
              <w:rPr>
                <w:rFonts w:ascii="Helvetica" w:eastAsia="Times New Roman" w:hAnsi="Helvetica" w:cs="Helvetica"/>
                <w:b/>
                <w:iCs/>
                <w:color w:val="111111"/>
                <w:sz w:val="24"/>
                <w:szCs w:val="24"/>
                <w:lang w:eastAsia="de-AT"/>
              </w:rPr>
              <w:t>e</w:t>
            </w:r>
            <w:r w:rsidRPr="00FF1214">
              <w:rPr>
                <w:rFonts w:ascii="Helvetica" w:eastAsia="Times New Roman" w:hAnsi="Helvetica" w:cs="Helvetica"/>
                <w:b/>
                <w:iCs/>
                <w:color w:val="111111"/>
                <w:sz w:val="24"/>
                <w:szCs w:val="24"/>
                <w:lang w:eastAsia="de-AT"/>
              </w:rPr>
              <w:t xml:space="preserve"> und Bedingungen</w:t>
            </w:r>
            <w:r>
              <w:rPr>
                <w:rFonts w:ascii="Helvetica" w:eastAsia="Times New Roman" w:hAnsi="Helvetica" w:cs="Helvetica"/>
                <w:b/>
                <w:iCs/>
                <w:color w:val="111111"/>
                <w:sz w:val="24"/>
                <w:szCs w:val="24"/>
                <w:lang w:eastAsia="de-AT"/>
              </w:rPr>
              <w:t>:</w:t>
            </w:r>
          </w:p>
          <w:p w:rsidR="00FF1214" w:rsidRPr="00FF1214" w:rsidRDefault="00FF1214" w:rsidP="00E64841">
            <w:pPr>
              <w:spacing w:before="100" w:beforeAutospacing="1" w:after="100" w:afterAutospacing="1" w:line="240" w:lineRule="auto"/>
              <w:rPr>
                <w:rFonts w:ascii="Helvetica" w:eastAsia="Times New Roman" w:hAnsi="Helvetica" w:cs="Helvetica"/>
                <w:iCs/>
                <w:color w:val="111111"/>
                <w:sz w:val="20"/>
                <w:lang w:eastAsia="de-AT"/>
              </w:rPr>
            </w:pPr>
            <w:hyperlink r:id="rId7" w:history="1">
              <w:r w:rsidRPr="00FF1214">
                <w:rPr>
                  <w:rStyle w:val="Hyperlink"/>
                  <w:rFonts w:ascii="Helvetica" w:eastAsia="Times New Roman" w:hAnsi="Helvetica" w:cs="Helvetica"/>
                  <w:iCs/>
                  <w:sz w:val="20"/>
                  <w:lang w:eastAsia="de-AT"/>
                </w:rPr>
                <w:t>http://pius.info/component/search/?searchword=Bedingungen+Ablass&amp;ordering=&amp;searchphrase=all</w:t>
              </w:r>
            </w:hyperlink>
          </w:p>
          <w:p w:rsidR="00E64841" w:rsidRPr="00E64841" w:rsidRDefault="00E64841" w:rsidP="00E64841">
            <w:pPr>
              <w:spacing w:after="0" w:line="240" w:lineRule="auto"/>
              <w:rPr>
                <w:rFonts w:ascii="Helvetica" w:eastAsia="Times New Roman" w:hAnsi="Helvetica" w:cs="Helvetica"/>
                <w:color w:val="111111"/>
                <w:sz w:val="20"/>
                <w:szCs w:val="20"/>
                <w:lang w:eastAsia="de-AT"/>
              </w:rPr>
            </w:pPr>
          </w:p>
        </w:tc>
      </w:tr>
    </w:tbl>
    <w:p w:rsidR="00C13487" w:rsidRDefault="00C13487"/>
    <w:sectPr w:rsidR="00C13487" w:rsidSect="00C1348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4841"/>
    <w:rsid w:val="00BA0EF6"/>
    <w:rsid w:val="00C13487"/>
    <w:rsid w:val="00C73FBD"/>
    <w:rsid w:val="00E64841"/>
    <w:rsid w:val="00FF121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134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6484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ervorhebung">
    <w:name w:val="Emphasis"/>
    <w:basedOn w:val="Absatz-Standardschriftart"/>
    <w:uiPriority w:val="20"/>
    <w:qFormat/>
    <w:rsid w:val="00E64841"/>
    <w:rPr>
      <w:i/>
      <w:iCs/>
    </w:rPr>
  </w:style>
  <w:style w:type="character" w:styleId="Fett">
    <w:name w:val="Strong"/>
    <w:basedOn w:val="Absatz-Standardschriftart"/>
    <w:uiPriority w:val="22"/>
    <w:qFormat/>
    <w:rsid w:val="00E64841"/>
    <w:rPr>
      <w:b/>
      <w:bCs/>
    </w:rPr>
  </w:style>
  <w:style w:type="paragraph" w:styleId="Sprechblasentext">
    <w:name w:val="Balloon Text"/>
    <w:basedOn w:val="Standard"/>
    <w:link w:val="SprechblasentextZchn"/>
    <w:uiPriority w:val="99"/>
    <w:semiHidden/>
    <w:unhideWhenUsed/>
    <w:rsid w:val="00E648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841"/>
    <w:rPr>
      <w:rFonts w:ascii="Tahoma" w:hAnsi="Tahoma" w:cs="Tahoma"/>
      <w:sz w:val="16"/>
      <w:szCs w:val="16"/>
    </w:rPr>
  </w:style>
  <w:style w:type="character" w:styleId="Hyperlink">
    <w:name w:val="Hyperlink"/>
    <w:basedOn w:val="Absatz-Standardschriftart"/>
    <w:uiPriority w:val="99"/>
    <w:unhideWhenUsed/>
    <w:rsid w:val="00FF121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ius.info/component/search/?searchword=Bedingungen+Ablass&amp;ordering=&amp;searchphrase=a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ius.info/froemmigkeit/8367-der-arme-seelen-ablass" TargetMode="External"/><Relationship Id="rId5" Type="http://schemas.openxmlformats.org/officeDocument/2006/relationships/image" Target="media/image1.png"/><Relationship Id="rId4" Type="http://schemas.openxmlformats.org/officeDocument/2006/relationships/hyperlink" Target="http://pius.info/froemmigkeit/8367-der-arme-seelen-ablass?format=pdf" TargetMode="Externa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3643</Characters>
  <Application>Microsoft Office Word</Application>
  <DocSecurity>0</DocSecurity>
  <Lines>30</Lines>
  <Paragraphs>8</Paragraphs>
  <ScaleCrop>false</ScaleCrop>
  <Company>Organisation</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KOCH</dc:creator>
  <cp:keywords/>
  <dc:description/>
  <cp:lastModifiedBy>Maria KOCH</cp:lastModifiedBy>
  <cp:revision>4</cp:revision>
  <dcterms:created xsi:type="dcterms:W3CDTF">2014-11-20T09:21:00Z</dcterms:created>
  <dcterms:modified xsi:type="dcterms:W3CDTF">2014-11-20T11:42:00Z</dcterms:modified>
</cp:coreProperties>
</file>